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color w:val="0000ff"/>
        </w:rPr>
      </w:pPr>
      <w:r w:rsidDel="00000000" w:rsidR="00000000" w:rsidRPr="00000000">
        <w:rPr>
          <w:b w:val="1"/>
          <w:bCs w:val="1"/>
          <w:color w:val="0000ff"/>
          <w:rtl w:val="0"/>
        </w:rPr>
        <w:t xml:space="preserve">Final Statement of the International Conference on Iranian-Islamic Civilization: </w:t>
      </w:r>
    </w:p>
    <w:p w:rsidR="00000000" w:rsidDel="00000000" w:rsidP="00000000" w:rsidRDefault="00000000" w:rsidRPr="00000000" w14:paraId="00000002">
      <w:pPr>
        <w:spacing w:after="240" w:before="240" w:lineRule="auto"/>
        <w:rPr>
          <w:b w:val="1"/>
          <w:bCs w:val="1"/>
          <w:color w:val="0000ff"/>
        </w:rPr>
      </w:pPr>
      <w:r w:rsidDel="00000000" w:rsidR="00000000" w:rsidRPr="00000000">
        <w:rPr>
          <w:b w:val="1"/>
          <w:bCs w:val="1"/>
          <w:color w:val="0000ff"/>
          <w:rtl w:val="0"/>
        </w:rPr>
        <w:t xml:space="preserve">Identity, Components, and Historical Splendor</w:t>
      </w:r>
    </w:p>
    <w:p w:rsidR="00000000" w:rsidDel="00000000" w:rsidP="00000000" w:rsidRDefault="00000000" w:rsidRPr="00000000" w14:paraId="00000003">
      <w:pPr>
        <w:rPr>
          <w:b w:val="1"/>
          <w:bCs w:val="1"/>
          <w:color w:val="0000ff"/>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Preamble</w:t>
      </w:r>
    </w:p>
    <w:p w:rsidR="00000000" w:rsidDel="00000000" w:rsidP="00000000" w:rsidRDefault="00000000" w:rsidRPr="00000000" w14:paraId="00000006">
      <w:pPr>
        <w:rPr/>
      </w:pPr>
      <w:r w:rsidDel="00000000" w:rsidR="00000000" w:rsidRPr="00000000">
        <w:rPr>
          <w:rtl w:val="0"/>
        </w:rPr>
        <w:t xml:space="preserve">This final statement is issued on behalf of the majority of participants in the International Conference on Iranian-Islamic Civilization, held in Austria and Iran. The conference was organized with the aim of advancing rigorous, interdisciplinary scientific research on one of the world’s most deeply rooted and influential civilizational traditions, in an environment conducive to the free exchange of ideas and genuine dialogue.</w:t>
      </w:r>
    </w:p>
    <w:p w:rsidR="00000000" w:rsidDel="00000000" w:rsidP="00000000" w:rsidRDefault="00000000" w:rsidRPr="00000000" w14:paraId="00000007">
      <w:pPr>
        <w:rPr/>
      </w:pPr>
      <w:r w:rsidDel="00000000" w:rsidR="00000000" w:rsidRPr="00000000">
        <w:rPr>
          <w:rtl w:val="0"/>
        </w:rPr>
        <w:t xml:space="preserve">The conference brought together scholars from fifteen specialized fields, representing a diverse range of methodological approaches, discursive affiliations, and institutional backgrounds.</w:t>
      </w:r>
    </w:p>
    <w:p w:rsidR="00000000" w:rsidDel="00000000" w:rsidP="00000000" w:rsidRDefault="00000000" w:rsidRPr="00000000" w14:paraId="00000008">
      <w:pPr>
        <w:rPr/>
      </w:pPr>
      <w:r w:rsidDel="00000000" w:rsidR="00000000" w:rsidRPr="00000000">
        <w:rPr>
          <w:rtl w:val="0"/>
        </w:rPr>
        <w:t xml:space="preserve">Iranian Studies stands at a critical juncture. For the discipline to realize its full potential, it must be met with redoubled investment while remaining fundamentally independent from the field of politics.</w:t>
      </w:r>
    </w:p>
    <w:p w:rsidR="00000000" w:rsidDel="00000000" w:rsidP="00000000" w:rsidRDefault="00000000" w:rsidRPr="00000000" w14:paraId="00000009">
      <w:pPr>
        <w:rPr/>
      </w:pPr>
      <w:r w:rsidDel="00000000" w:rsidR="00000000" w:rsidRPr="00000000">
        <w:rPr>
          <w:rtl w:val="0"/>
        </w:rPr>
        <w:t xml:space="preserve">This conference represents a modest yet significant and energizing step in this direction — and fortunately succeeded in pursuing its objectives beyond initial expectations. The main findings and outcomes of the conference are outlined below:</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b w:val="1"/>
          <w:bCs w:val="1"/>
          <w:rtl w:val="0"/>
        </w:rPr>
        <w:t xml:space="preserve">Axis 1: Persian Language as a Civilizational Medium</w:t>
      </w:r>
    </w:p>
    <w:p w:rsidR="00000000" w:rsidDel="00000000" w:rsidP="00000000" w:rsidRDefault="00000000" w:rsidRPr="00000000" w14:paraId="0000000C">
      <w:pPr>
        <w:rPr/>
      </w:pPr>
      <w:r w:rsidDel="00000000" w:rsidR="00000000" w:rsidRPr="00000000">
        <w:rPr>
          <w:rtl w:val="0"/>
        </w:rPr>
        <w:t xml:space="preserve">The scholarly presentations in this axis demonstrated that the Persian language has historically functioned as a transnational medium for intellectual and cultural transmission across a vast geographical and civilizational space — from Badakhshan to the Caucasus. Comparative analysis of contemporary Dari literary texts and semantic shifts in the cultural discourse of Qajar-era Azerbaijan confirmed that the civilizational reach of the Persian language extends far beyond present-day political boundaries.</w:t>
      </w:r>
    </w:p>
    <w:p w:rsidR="00000000" w:rsidDel="00000000" w:rsidP="00000000" w:rsidRDefault="00000000" w:rsidRPr="00000000" w14:paraId="0000000D">
      <w:pPr>
        <w:rPr/>
      </w:pPr>
      <w:r w:rsidDel="00000000" w:rsidR="00000000" w:rsidRPr="00000000">
        <w:rPr>
          <w:rtl w:val="0"/>
        </w:rPr>
        <w:t xml:space="preserve">In this regard, sustained comparative linguistic and literary research on Persian as a shared civilizational language — taking into account its role in Central Asia, South Asia, and the Caucasus — is essential for a full understanding of the mechanisms of cultural cohesion within the Iranian cultural sphere.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bCs w:val="1"/>
        </w:rPr>
      </w:pPr>
      <w:r w:rsidDel="00000000" w:rsidR="00000000" w:rsidRPr="00000000">
        <w:rPr>
          <w:b w:val="1"/>
          <w:bCs w:val="1"/>
          <w:rtl w:val="0"/>
        </w:rPr>
        <w:t xml:space="preserve">Axis 2: Scientific Institutions and the Legacy of Jundishapur</w:t>
      </w:r>
    </w:p>
    <w:p w:rsidR="00000000" w:rsidDel="00000000" w:rsidP="00000000" w:rsidRDefault="00000000" w:rsidRPr="00000000" w14:paraId="00000010">
      <w:pPr>
        <w:rPr/>
      </w:pPr>
      <w:r w:rsidDel="00000000" w:rsidR="00000000" w:rsidRPr="00000000">
        <w:rPr>
          <w:rtl w:val="0"/>
        </w:rPr>
        <w:t xml:space="preserve">A noteworthy finding of this axis was the identification of the Jundishapur Academy during the Sasanian period as an advanced early prototype of what might be called an “academic medical center” — a model that integrated clinical training, applied hydraulic engineering, and proto-bioethical frameworks. The transfer of this institutionalized knowledge into the Islamic era constitutes a striking example of civilizational continuity and intellectual synthesis that holds considerable scientific value.</w:t>
      </w:r>
    </w:p>
    <w:p w:rsidR="00000000" w:rsidDel="00000000" w:rsidP="00000000" w:rsidRDefault="00000000" w:rsidRPr="00000000" w14:paraId="00000011">
      <w:pPr>
        <w:rPr/>
      </w:pPr>
      <w:r w:rsidDel="00000000" w:rsidR="00000000" w:rsidRPr="00000000">
        <w:rPr>
          <w:rtl w:val="0"/>
        </w:rPr>
        <w:t xml:space="preserve">Comparative institutional history of scientific academies in the pre-modern Islamic world — with special attention to the Jundishapur model — offers a fertile ground for future interdisciplinary research connecting the history of science, medical humanities, and institutional sociology.</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b w:val="1"/>
          <w:bCs w:val="1"/>
          <w:rtl w:val="0"/>
        </w:rPr>
        <w:t xml:space="preserve">Axis 3: Mysticism, Aesthetics, and Social Functions</w:t>
      </w:r>
    </w:p>
    <w:p w:rsidR="00000000" w:rsidDel="00000000" w:rsidP="00000000" w:rsidRDefault="00000000" w:rsidRPr="00000000" w14:paraId="00000014">
      <w:pPr>
        <w:rPr/>
      </w:pPr>
      <w:r w:rsidDel="00000000" w:rsidR="00000000" w:rsidRPr="00000000">
        <w:rPr>
          <w:rtl w:val="0"/>
        </w:rPr>
        <w:t xml:space="preserve">The papers presented in this axis examined the deep-rooted traditions of Sufism and mystical thought in the Zagros region, tracing their historical evolution and geographical dimensions. Other contributions analyzed the social functions of calligraphy within non-liturgical architectural contexts, demonstrating that in Iranian-Islamic civilization, aesthetic action performed social and psychological functions of cohesion that extended far beyond the strictly religious domain.</w:t>
      </w:r>
    </w:p>
    <w:p w:rsidR="00000000" w:rsidDel="00000000" w:rsidP="00000000" w:rsidRDefault="00000000" w:rsidRPr="00000000" w14:paraId="00000015">
      <w:pPr>
        <w:rPr/>
      </w:pPr>
      <w:r w:rsidDel="00000000" w:rsidR="00000000" w:rsidRPr="00000000">
        <w:rPr>
          <w:rtl w:val="0"/>
        </w:rPr>
        <w:t xml:space="preserve">Along this line, further ethnographic and art-historical research into the social and psychological functions of traditional aesthetic practices — including calligraphy, narrative arts, and architectural ornamentation — can significantly enrich Iranian cultural studies.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bCs w:val="1"/>
        </w:rPr>
      </w:pPr>
      <w:r w:rsidDel="00000000" w:rsidR="00000000" w:rsidRPr="00000000">
        <w:rPr>
          <w:b w:val="1"/>
          <w:bCs w:val="1"/>
          <w:rtl w:val="0"/>
        </w:rPr>
        <w:t xml:space="preserve">Axis 4: Political Thought and Traditions of Coexistence</w:t>
      </w:r>
    </w:p>
    <w:p w:rsidR="00000000" w:rsidDel="00000000" w:rsidP="00000000" w:rsidRDefault="00000000" w:rsidRPr="00000000" w14:paraId="00000018">
      <w:pPr>
        <w:rPr/>
      </w:pPr>
      <w:r w:rsidDel="00000000" w:rsidR="00000000" w:rsidRPr="00000000">
        <w:rPr>
          <w:rtl w:val="0"/>
        </w:rPr>
        <w:t xml:space="preserve">This axis explored the intellectual history of political thought within the Iranian tradition, including a critical scholarly assessment of the “Iranshahr theory” and its historiographical foundations. Presentations traced the development of Iranian historicist nationalism from the Constitutional period through the Pahlavi era and analyzed the methodological shift from culture-centered narratives to evidence-based historical inquiry.</w:t>
      </w:r>
    </w:p>
    <w:p w:rsidR="00000000" w:rsidDel="00000000" w:rsidP="00000000" w:rsidRDefault="00000000" w:rsidRPr="00000000" w14:paraId="00000019">
      <w:pPr>
        <w:rPr/>
      </w:pPr>
      <w:r w:rsidDel="00000000" w:rsidR="00000000" w:rsidRPr="00000000">
        <w:rPr>
          <w:rtl w:val="0"/>
        </w:rPr>
        <w:t xml:space="preserve">From this perspective, critical historiographical analysis of nationalist intellectual traditions — conducted with methodological rigor and free from present-day biases — is an undeniable necessity for achieving a mature scientific understanding of Iranian civilizational identity.</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bCs w:val="1"/>
        </w:rPr>
      </w:pPr>
      <w:r w:rsidDel="00000000" w:rsidR="00000000" w:rsidRPr="00000000">
        <w:rPr>
          <w:b w:val="1"/>
          <w:bCs w:val="1"/>
          <w:rtl w:val="0"/>
        </w:rPr>
        <w:t xml:space="preserve">Axis 5: Economic History and Modernization</w:t>
      </w:r>
    </w:p>
    <w:p w:rsidR="00000000" w:rsidDel="00000000" w:rsidP="00000000" w:rsidRDefault="00000000" w:rsidRPr="00000000" w14:paraId="0000001C">
      <w:pPr>
        <w:rPr/>
      </w:pPr>
      <w:r w:rsidDel="00000000" w:rsidR="00000000" w:rsidRPr="00000000">
        <w:rPr>
          <w:rtl w:val="0"/>
        </w:rPr>
        <w:t xml:space="preserve">Presentations in this axis examined the history of labor, financial structures, and entrepreneurial networks in Iran during the transformative decades of 1300–1320 solar (roughly 1921–1941 CE). The findings illuminated the adaptive strategies of Iranian economic actors in response to pressures from state-led modernization projects and integration into the global economy.</w:t>
      </w:r>
    </w:p>
    <w:p w:rsidR="00000000" w:rsidDel="00000000" w:rsidP="00000000" w:rsidRDefault="00000000" w:rsidRPr="00000000" w14:paraId="0000001D">
      <w:pPr>
        <w:rPr/>
      </w:pPr>
      <w:r w:rsidDel="00000000" w:rsidR="00000000" w:rsidRPr="00000000">
        <w:rPr>
          <w:rtl w:val="0"/>
        </w:rPr>
        <w:t xml:space="preserve">In this direction, systematic archival research into the economic and social history of modern Iran — drawing on both domestic and foreign documentary collections — can significantly deepen our understanding of Iranian modernity and its indigenous formulations.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b w:val="1"/>
          <w:bCs w:val="1"/>
          <w:rtl w:val="0"/>
        </w:rPr>
        <w:t xml:space="preserve">Final Resolutions</w:t>
      </w:r>
    </w:p>
    <w:p w:rsidR="00000000" w:rsidDel="00000000" w:rsidP="00000000" w:rsidRDefault="00000000" w:rsidRPr="00000000" w14:paraId="00000020">
      <w:pPr>
        <w:rPr/>
      </w:pPr>
      <w:r w:rsidDel="00000000" w:rsidR="00000000" w:rsidRPr="00000000">
        <w:rPr>
          <w:rtl w:val="0"/>
        </w:rPr>
        <w:t xml:space="preserve">After reviewing and discussing the findings across all fifteen specialized axes, the conference participants adopt the following points as their collective scholarly commitment:</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1.  Integration of Iranian Studies and Civilizational Studies The conference emphasizes that Iranian Studies must grow in systematic and ongoing interaction with civilizational studies as a methodological framework. Fragmented and disconnected research, however valuable in itself, cannot substitute for an integrated scientific program capable of providing a coherent understanding of Iranian civilization in its full historical depth.</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2.  Systematic Linkage between Oriental Studies and Iranian Studies The conference stresses that Oriental Studies and Iranian Studies remain incomplete without systematic interconnection. Iran’s central role in the history of Eastern civilizations cannot be overlooked, just as the Eastern context of the flourishing of Iranian-Islamic civilization cannot be ignored. The development of both fields should proceed in coordination and mutual dialogue.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3.  Scientific Independence from Political and Ideological Pressures The conference underscores that the integrity and fruitfulness of Iranian Studies depend on its insulation from political and ideological pressures. This concern has long been voiced in Iran, but it also applies to certain European research centers, including those in Austria — a continent whose long tradition of academic freedom and scientific independence remains a precious asset for all of humanity. Accordingly, the conference expresses the hope that — alongside Iranian universities and research institutions — those European institutions, especially in the Republic of Austria, which have made valuable investments in Oriental and Iranian Studies in recent years, will complete these investments by safeguarding the very academic freedom upon which Europe was built, and not allow short-term political considerations to sacrifice science.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4.  Culture of Criticism and Open Academic Dialogue The conference explicitly declares that one of the most serious current weaknesses in Iranian Studies is the scarcity of serious criticism and the insufficient exposure of theories to open scientific discourse. Theories that do not pass through the crucible of criticism, that do not withstand rigorous methodological scrutiny, and that are produced and reproduced in closed environments — however formally standardized — do not contribute to genuine progress in the field. Epistemic pluralism and critical free thought are not merely an advantage, but a fundamental condition for the intellectual health of the discipline.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5.  Systematic Mapping of Research Gaps The conference acknowledges that vast areas of Iranian Studies and Iranian-Islamic civilizational research remain insufficiently explored, and some existing explorations have been shallow. The permanent secretariat of this conference is tasked with developing and proposing a structured research agenda that identifies priority areas, facilitates scientific collaboration, and promotes long-term cumulative progress in the field.</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6.  Promotion of Interdisciplinary Research The conference emphasizes strengthening collaborative research frameworks that bring together scholars from the humanities, social sciences, history of science, and related disciplines — recognizing that the civilizational phenomena under study transcend conventional disciplinary boundaries.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7.  Production of Scholarly Reference Works The conference supports the preparation of systematic reference works — encyclopedias, critical bibliographies, and thematic guides — that synthesize existing research and provide reliable foundations for future investigations into Iranian-Islamic civilization.</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bCs w:val="1"/>
        </w:rPr>
      </w:pPr>
      <w:r w:rsidDel="00000000" w:rsidR="00000000" w:rsidRPr="00000000">
        <w:rPr>
          <w:b w:val="1"/>
          <w:bCs w:val="1"/>
          <w:rtl w:val="0"/>
        </w:rPr>
        <w:t xml:space="preserve">Closing Remarks</w:t>
      </w:r>
    </w:p>
    <w:p w:rsidR="00000000" w:rsidDel="00000000" w:rsidP="00000000" w:rsidRDefault="00000000" w:rsidRPr="00000000" w14:paraId="00000031">
      <w:pPr>
        <w:rPr/>
      </w:pPr>
      <w:r w:rsidDel="00000000" w:rsidR="00000000" w:rsidRPr="00000000">
        <w:rPr>
          <w:rtl w:val="0"/>
        </w:rPr>
        <w:t xml:space="preserve">This statement is issued as a document of scholarly consensus and a program for future research. The participants emphasize that Iranian-Islamic civilization — in its linguistic, artistic, scientific, institutional, and philosophical dimensions — constitutes a subject of enduring scientific importance. Its systematic study is both an intellectual obligation and a valuable contribution to humanity’s broader understanding of its civilizational heritage.</w:t>
      </w:r>
    </w:p>
    <w:p w:rsidR="00000000" w:rsidDel="00000000" w:rsidP="00000000" w:rsidRDefault="00000000" w:rsidRPr="00000000" w14:paraId="00000032">
      <w:pPr>
        <w:rPr/>
      </w:pPr>
      <w:r w:rsidDel="00000000" w:rsidR="00000000" w:rsidRPr="00000000">
        <w:rPr>
          <w:rtl w:val="0"/>
        </w:rPr>
        <w:t xml:space="preserve">The depth and complexity of this tradition are such that no single conference nor any one generation of scholars can exhaust its scientific possibilities. The participants commit to ongoing engagement and invite the broader international scholarly community — particularly European research institutions, especially those in Austria that have invested in this field — to join this long-term collective endeavor while upholding the highest standards of academic freedom and scholarly criticism.</w:t>
      </w:r>
    </w:p>
    <w:p w:rsidR="00000000" w:rsidDel="00000000" w:rsidP="00000000" w:rsidRDefault="00000000" w:rsidRPr="00000000" w14:paraId="00000033">
      <w:pPr>
        <w:rPr/>
      </w:pPr>
      <w:r w:rsidDel="00000000" w:rsidR="00000000" w:rsidRPr="00000000">
        <w:rPr>
          <w:rtl w:val="0"/>
        </w:rPr>
        <w:t xml:space="preserve">Issued at the conclusion of the International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bCs w:val="1"/>
          <w:color w:val="0000ff"/>
        </w:rPr>
      </w:pPr>
      <w:r w:rsidDel="00000000" w:rsidR="00000000" w:rsidRPr="00000000">
        <w:rPr>
          <w:b w:val="1"/>
          <w:bCs w:val="1"/>
          <w:color w:val="0000ff"/>
          <w:rtl w:val="0"/>
        </w:rPr>
        <w:t xml:space="preserve">Conference on Iranian-Islamic Civilization: Identity, Components, and Historical Glory</w:t>
      </w:r>
    </w:p>
    <w:p w:rsidR="00000000" w:rsidDel="00000000" w:rsidP="00000000" w:rsidRDefault="00000000" w:rsidRPr="00000000" w14:paraId="00000036">
      <w:pPr>
        <w:rPr>
          <w:b w:val="1"/>
          <w:bCs w:val="1"/>
          <w:color w:val="0000ff"/>
        </w:rPr>
      </w:pPr>
      <w:r w:rsidDel="00000000" w:rsidR="00000000" w:rsidRPr="00000000">
        <w:rPr>
          <w:b w:val="1"/>
          <w:bCs w:val="1"/>
          <w:color w:val="0000ff"/>
          <w:rtl w:val="0"/>
        </w:rPr>
        <w:t xml:space="preserve">30 Bahman 1404 solar / 19 February 2026</w:t>
      </w:r>
    </w:p>
    <w:p w:rsidR="00000000" w:rsidDel="00000000" w:rsidP="00000000" w:rsidRDefault="00000000" w:rsidRPr="00000000" w14:paraId="00000037">
      <w:pPr>
        <w:rPr>
          <w:b w:val="1"/>
          <w:bCs w:val="1"/>
          <w:color w:val="0000ff"/>
        </w:rPr>
      </w:pPr>
      <w:r w:rsidDel="00000000" w:rsidR="00000000" w:rsidRPr="00000000">
        <w:rPr>
          <w:b w:val="1"/>
          <w:bCs w:val="1"/>
          <w:color w:val="0000ff"/>
          <w:rtl w:val="0"/>
        </w:rPr>
        <w:t xml:space="preserve">Vienna–Tehran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