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bidi w:val="1"/>
        <w:spacing w:after="240" w:before="240" w:lineRule="auto"/>
        <w:rPr/>
      </w:pP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rPr>
          <w:b w:val="1"/>
          <w:bCs w:val="1"/>
          <w:sz w:val="46"/>
          <w:szCs w:val="46"/>
        </w:rPr>
      </w:pPr>
      <w:bookmarkStart w:colFirst="0" w:colLast="0" w:name="_3lq90c89rbfy" w:id="0"/>
      <w:bookmarkEnd w:id="0"/>
      <w:r w:rsidDel="00000000" w:rsidR="00000000" w:rsidRPr="00000000">
        <w:rPr>
          <w:b w:val="1"/>
          <w:bCs w:val="1"/>
          <w:sz w:val="46"/>
          <w:szCs w:val="46"/>
          <w:rtl w:val="0"/>
        </w:rPr>
        <w:t xml:space="preserve">International Conference on “Iranian–Islamic Civilization” Convened in Vienna with the Participation of Leading Iranologists</w:t>
      </w:r>
    </w:p>
    <w:p w:rsidR="00000000" w:rsidDel="00000000" w:rsidP="00000000" w:rsidRDefault="00000000" w:rsidRPr="00000000" w14:paraId="00000003">
      <w:pPr>
        <w:spacing w:after="240" w:before="240" w:lineRule="auto"/>
        <w:rPr/>
      </w:pPr>
      <w:r w:rsidDel="00000000" w:rsidR="00000000" w:rsidRPr="00000000">
        <w:rPr>
          <w:rtl w:val="0"/>
        </w:rPr>
        <w:t xml:space="preserve">With the initiative of the Iranians Wisdom House in Vienna, in cooperation with the Hafiz and Purgstall Cultural Association, the two-day international conference entitled “Iranian–Islamic Civilization: Identity, Components, and Historical Splendor” was held on 18–19 February 2026 (29–30 Bahman 1404) in Vienna. The conference was conducted in a hybrid format (in-person and online) at Avicenna (Ibn Sina) Hall and brought together prominent scholars, Iranologists, and researchers in civilizational studies from diverse academic fields to explore multiple dimensions of Iranian–Islamic civilization.</w:t>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iwl8t0nbsh2z" w:id="1"/>
      <w:bookmarkEnd w:id="1"/>
      <w:r w:rsidDel="00000000" w:rsidR="00000000" w:rsidRPr="00000000">
        <w:rPr>
          <w:b w:val="1"/>
          <w:bCs w:val="1"/>
          <w:sz w:val="34"/>
          <w:szCs w:val="34"/>
          <w:rtl w:val="0"/>
        </w:rPr>
        <w:t xml:space="preserve">Opening Ceremony and Special Events</w:t>
      </w:r>
    </w:p>
    <w:p w:rsidR="00000000" w:rsidDel="00000000" w:rsidP="00000000" w:rsidRDefault="00000000" w:rsidRPr="00000000" w14:paraId="00000005">
      <w:pPr>
        <w:spacing w:after="240" w:before="240" w:lineRule="auto"/>
        <w:rPr/>
      </w:pPr>
      <w:r w:rsidDel="00000000" w:rsidR="00000000" w:rsidRPr="00000000">
        <w:rPr>
          <w:rtl w:val="0"/>
        </w:rPr>
        <w:t xml:space="preserve">Two major events accompanied the opening session.</w:t>
      </w:r>
    </w:p>
    <w:p w:rsidR="00000000" w:rsidDel="00000000" w:rsidP="00000000" w:rsidRDefault="00000000" w:rsidRPr="00000000" w14:paraId="00000006">
      <w:pPr>
        <w:spacing w:after="240" w:before="240" w:lineRule="auto"/>
        <w:rPr/>
      </w:pPr>
      <w:r w:rsidDel="00000000" w:rsidR="00000000" w:rsidRPr="00000000">
        <w:rPr>
          <w:rtl w:val="0"/>
        </w:rPr>
        <w:t xml:space="preserve">The first was the inaugural presentation of the Iranology Book Award, named in honor of the late Austrian Iranologist Bert Fragner. Upon the decision of the jury, the award was conferred upon Dr. Sibil Wendtker of the Austrian Academy of Sciences for her translation and critical edition of the five-volume historical chronicle Tarikh-i Wassaf. This work constitutes one of the most significant primary sources for the study of Iran during the Mongol invasion and the consolidation of Ilkhanid rule. Composed by Wassaf al-Hazra of Shiraz, it offers a detailed and analytically structured account of political and social developments from the late 7th to the early 8th century AH (late 13th to early 14th century CE). Despite its ornate and rhetorically elaborate prose, the chronicle is distinguished by precision and documentary reliability, which has secured its enduring scholarly value.</w:t>
      </w:r>
    </w:p>
    <w:p w:rsidR="00000000" w:rsidDel="00000000" w:rsidP="00000000" w:rsidRDefault="00000000" w:rsidRPr="00000000" w14:paraId="00000007">
      <w:pPr>
        <w:spacing w:after="240" w:before="240" w:lineRule="auto"/>
        <w:rPr/>
      </w:pPr>
      <w:r w:rsidDel="00000000" w:rsidR="00000000" w:rsidRPr="00000000">
        <w:rPr>
          <w:rtl w:val="0"/>
        </w:rPr>
        <w:t xml:space="preserve">The second event was the official unveiling of the German-language volume Austrian Iranologists, published in Vienna by Unidialog Verlag through the joint efforts of the Iranian House of Wisdom and the Hafiz and Purgstall Cultural Association. The ceremony was attended by distinguished Austrian intellectuals and prominent scholars of Iranian studies.</w:t>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dr318odrhwmb" w:id="2"/>
      <w:bookmarkEnd w:id="2"/>
      <w:r w:rsidDel="00000000" w:rsidR="00000000" w:rsidRPr="00000000">
        <w:rPr>
          <w:b w:val="1"/>
          <w:bCs w:val="1"/>
          <w:sz w:val="34"/>
          <w:szCs w:val="34"/>
          <w:rtl w:val="0"/>
        </w:rPr>
        <w:t xml:space="preserve">Keynote Addresses</w:t>
      </w:r>
    </w:p>
    <w:p w:rsidR="00000000" w:rsidDel="00000000" w:rsidP="00000000" w:rsidRDefault="00000000" w:rsidRPr="00000000" w14:paraId="00000009">
      <w:pPr>
        <w:spacing w:after="240" w:before="240" w:lineRule="auto"/>
        <w:rPr/>
      </w:pPr>
      <w:r w:rsidDel="00000000" w:rsidR="00000000" w:rsidRPr="00000000">
        <w:rPr>
          <w:rtl w:val="0"/>
        </w:rPr>
        <w:t xml:space="preserve">Dr. Elham Malekzadeh, Associate Professor at the Research Institute for Humanities and Cultural Studies and Deputy Secretary of the Conference, opened the proceedings with a report on the academic process of the conference, including submissions received and papers accepted.</w:t>
      </w:r>
    </w:p>
    <w:p w:rsidR="00000000" w:rsidDel="00000000" w:rsidP="00000000" w:rsidRDefault="00000000" w:rsidRPr="00000000" w14:paraId="0000000A">
      <w:pPr>
        <w:spacing w:after="240" w:before="240" w:lineRule="auto"/>
        <w:rPr/>
      </w:pPr>
      <w:r w:rsidDel="00000000" w:rsidR="00000000" w:rsidRPr="00000000">
        <w:rPr>
          <w:rtl w:val="0"/>
        </w:rPr>
        <w:t xml:space="preserve">The second keynote address was delivered by Dr. Reza Gholami, Professor of Political Philosophy and Cultural and Civilizational Studies and President of the Iranian Wisdom House in Vienna. Adopting a macro-civilizational perspective, he articulated the defining characteristics of Iranian–Islamic civilization. He argued that this civilization emerged from the creative encounter between Islam and an ancient Iranian civilization endowed with three millennia of statecraft, a sophisticated administrative system, a deep philosophical tradition, and a continuous cultural heritage. Through this encounter, a historically transformative synthesis took shape. Referring to Iran’s decisive role in the development of philosophical wisdom, the flourishing of mysticism and Persian literature, and the formation of a vast transregional cultural sphere stretching from Anatolia to the Indian subcontinent, he described Iranian–Islamic civilization as an exemplary synthesis of philosophical reason, mystical intuition, and revealed religion—one that generated a coherent system of thought, art, politics, and ethics with enduring relevance for the contemporary world.</w:t>
      </w:r>
    </w:p>
    <w:p w:rsidR="00000000" w:rsidDel="00000000" w:rsidP="00000000" w:rsidRDefault="00000000" w:rsidRPr="00000000" w14:paraId="0000000B">
      <w:pPr>
        <w:spacing w:after="240" w:before="240" w:lineRule="auto"/>
        <w:rPr/>
      </w:pPr>
      <w:r w:rsidDel="00000000" w:rsidR="00000000" w:rsidRPr="00000000">
        <w:rPr>
          <w:rtl w:val="0"/>
        </w:rPr>
        <w:t xml:space="preserve">Dr. Sibil Wendtker then delivered her remarks, expressing gratitude to the organizers and the jury of the Bert Fragner Award and describing the honor as a significant recognition within the field of Iranology.</w:t>
      </w:r>
    </w:p>
    <w:p w:rsidR="00000000" w:rsidDel="00000000" w:rsidP="00000000" w:rsidRDefault="00000000" w:rsidRPr="00000000" w14:paraId="0000000C">
      <w:pPr>
        <w:spacing w:after="240" w:before="240" w:lineRule="auto"/>
        <w:rPr/>
      </w:pPr>
      <w:r w:rsidDel="00000000" w:rsidR="00000000" w:rsidRPr="00000000">
        <w:rPr>
          <w:rtl w:val="0"/>
        </w:rPr>
        <w:t xml:space="preserve">Dr. Viktor Florian Szabó, postdoctoral researcher in Iranology, addressed the transition of Iran’s financial system from traditional structures to modern institutions, with particular attention to the emergence of the insurance sector and the pre-modern mechanisms that functioned analogously to insurance.</w:t>
      </w:r>
    </w:p>
    <w:p w:rsidR="00000000" w:rsidDel="00000000" w:rsidP="00000000" w:rsidRDefault="00000000" w:rsidRPr="00000000" w14:paraId="0000000D">
      <w:pPr>
        <w:spacing w:after="240" w:before="240" w:lineRule="auto"/>
        <w:rPr/>
      </w:pPr>
      <w:r w:rsidDel="00000000" w:rsidR="00000000" w:rsidRPr="00000000">
        <w:rPr>
          <w:rtl w:val="0"/>
        </w:rPr>
        <w:t xml:space="preserve">Professor Dr. Nosratollah Rastegar, the distinguished Iranian-Austrian Iranologist and Ferdowsi scholar, was also scheduled as a keynote speaker. Due to hospitalization, his address was read by Michael Ryan, a master’s researcher in Iranology in Germany. Drawing upon the evolutionary narrative structure of the Shahnameh, Professor Rastegar examined the position of women within the broader arc of historical and social transformation. Through an eightfold typology of female roles—ranging from victims of war to wise spouses, heroic mothers, political actors, warriors, and artists—he demonstrated that in Ferdowsi’s ethical vision the criterion of value is humanity rather than gender, and that women, no less than men, actively shape the historical and moral destiny of society.</w:t>
      </w:r>
    </w:p>
    <w:p w:rsidR="00000000" w:rsidDel="00000000" w:rsidP="00000000" w:rsidRDefault="00000000" w:rsidRPr="00000000" w14:paraId="0000000E">
      <w:pPr>
        <w:spacing w:after="240" w:before="240" w:lineRule="auto"/>
        <w:rPr/>
      </w:pPr>
      <w:r w:rsidDel="00000000" w:rsidR="00000000" w:rsidRPr="00000000">
        <w:rPr>
          <w:rtl w:val="0"/>
        </w:rPr>
        <w:t xml:space="preserve">The bilingual (Persian–English) book of abstracts was also officially unveiled during the ceremony.</w:t>
      </w:r>
    </w:p>
    <w:p w:rsidR="00000000" w:rsidDel="00000000" w:rsidP="00000000" w:rsidRDefault="00000000" w:rsidRPr="00000000" w14:paraId="0000000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qgr9dt9gstq" w:id="3"/>
      <w:bookmarkEnd w:id="3"/>
      <w:r w:rsidDel="00000000" w:rsidR="00000000" w:rsidRPr="00000000">
        <w:rPr>
          <w:b w:val="1"/>
          <w:bCs w:val="1"/>
          <w:sz w:val="34"/>
          <w:szCs w:val="34"/>
          <w:rtl w:val="0"/>
        </w:rPr>
        <w:t xml:space="preserve">Second Day: Thematic Panels</w:t>
      </w:r>
    </w:p>
    <w:p w:rsidR="00000000" w:rsidDel="00000000" w:rsidP="00000000" w:rsidRDefault="00000000" w:rsidRPr="00000000" w14:paraId="00000011">
      <w:pPr>
        <w:spacing w:after="240" w:before="240" w:lineRule="auto"/>
        <w:rPr/>
      </w:pPr>
      <w:r w:rsidDel="00000000" w:rsidR="00000000" w:rsidRPr="00000000">
        <w:rPr>
          <w:rtl w:val="0"/>
        </w:rPr>
        <w:t xml:space="preserve">The second day of the conference was held entirely online and organized into two panels. All fifteen scheduled presentations were delivered with strong academic rigor.</w:t>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j6pchy1k3jxy" w:id="4"/>
      <w:bookmarkEnd w:id="4"/>
      <w:r w:rsidDel="00000000" w:rsidR="00000000" w:rsidRPr="00000000">
        <w:rPr>
          <w:b w:val="1"/>
          <w:bCs w:val="1"/>
          <w:color w:val="000000"/>
          <w:sz w:val="26"/>
          <w:szCs w:val="26"/>
          <w:rtl w:val="0"/>
        </w:rPr>
        <w:t xml:space="preserve">Panel I (Chair: Dr. Elham Malekzadeh)</w:t>
      </w:r>
    </w:p>
    <w:p w:rsidR="00000000" w:rsidDel="00000000" w:rsidP="00000000" w:rsidRDefault="00000000" w:rsidRPr="00000000" w14:paraId="00000013">
      <w:pPr>
        <w:spacing w:after="240" w:before="240" w:lineRule="auto"/>
        <w:rPr/>
      </w:pPr>
      <w:r w:rsidDel="00000000" w:rsidR="00000000" w:rsidRPr="00000000">
        <w:rPr>
          <w:rtl w:val="0"/>
        </w:rPr>
        <w:t xml:space="preserve">This panel addressed cultural, intellectual, and identity-related themes, including:</w:t>
      </w:r>
    </w:p>
    <w:p w:rsidR="00000000" w:rsidDel="00000000" w:rsidP="00000000" w:rsidRDefault="00000000" w:rsidRPr="00000000" w14:paraId="00000014">
      <w:pPr>
        <w:numPr>
          <w:ilvl w:val="0"/>
          <w:numId w:val="1"/>
        </w:numPr>
        <w:spacing w:after="0" w:afterAutospacing="0" w:before="480" w:lineRule="auto"/>
        <w:ind w:left="720" w:hanging="360"/>
      </w:pPr>
      <w:r w:rsidDel="00000000" w:rsidR="00000000" w:rsidRPr="00000000">
        <w:rPr>
          <w:rtl w:val="0"/>
        </w:rPr>
        <w:t xml:space="preserve">Mohammad Ali Soltani: “Zagros Mysticism: The Hidden Dimension of Iranian–Islamic Mysticism”</w:t>
        <w:br w:type="textWrapping"/>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rtl w:val="0"/>
        </w:rPr>
        <w:t xml:space="preserve">Safoura Boroumand: “Storytelling and the Preservation of Iranian National and Religious Identity”</w:t>
        <w:br w:type="textWrapping"/>
      </w:r>
    </w:p>
    <w:p w:rsidR="00000000" w:rsidDel="00000000" w:rsidP="00000000" w:rsidRDefault="00000000" w:rsidRPr="00000000" w14:paraId="00000016">
      <w:pPr>
        <w:numPr>
          <w:ilvl w:val="0"/>
          <w:numId w:val="1"/>
        </w:numPr>
        <w:spacing w:after="0" w:afterAutospacing="0" w:before="0" w:beforeAutospacing="0" w:lineRule="auto"/>
        <w:ind w:left="720" w:hanging="360"/>
      </w:pPr>
      <w:r w:rsidDel="00000000" w:rsidR="00000000" w:rsidRPr="00000000">
        <w:rPr>
          <w:rtl w:val="0"/>
        </w:rPr>
        <w:t xml:space="preserve">Zahra Alizadeh Birjandi: “The Functions of Calligraphic Art in Non-Ritual Iranian Architecture”</w:t>
        <w:br w:type="textWrapping"/>
      </w:r>
    </w:p>
    <w:p w:rsidR="00000000" w:rsidDel="00000000" w:rsidP="00000000" w:rsidRDefault="00000000" w:rsidRPr="00000000" w14:paraId="00000017">
      <w:pPr>
        <w:numPr>
          <w:ilvl w:val="0"/>
          <w:numId w:val="1"/>
        </w:numPr>
        <w:spacing w:after="0" w:afterAutospacing="0" w:before="0" w:beforeAutospacing="0" w:lineRule="auto"/>
        <w:ind w:left="720" w:hanging="360"/>
      </w:pPr>
      <w:r w:rsidDel="00000000" w:rsidR="00000000" w:rsidRPr="00000000">
        <w:rPr>
          <w:rtl w:val="0"/>
        </w:rPr>
        <w:t xml:space="preserve">Mehdi Hesampour: “The Persian Language in the Transition from Civilization to Culture: An Analysis Based on the Theory of Living Civilization”</w:t>
        <w:br w:type="textWrapping"/>
      </w:r>
    </w:p>
    <w:p w:rsidR="00000000" w:rsidDel="00000000" w:rsidP="00000000" w:rsidRDefault="00000000" w:rsidRPr="00000000" w14:paraId="00000018">
      <w:pPr>
        <w:numPr>
          <w:ilvl w:val="0"/>
          <w:numId w:val="1"/>
        </w:numPr>
        <w:spacing w:after="0" w:afterAutospacing="0" w:before="0" w:beforeAutospacing="0" w:lineRule="auto"/>
        <w:ind w:left="720" w:hanging="360"/>
      </w:pPr>
      <w:r w:rsidDel="00000000" w:rsidR="00000000" w:rsidRPr="00000000">
        <w:rPr>
          <w:rtl w:val="0"/>
        </w:rPr>
        <w:t xml:space="preserve">Zahra Hatami: “The Concept of Iran in the Works of Contemporary Afghan Thinkers (Case Study: Ghafran Badakhshani)”</w:t>
        <w:br w:type="textWrapping"/>
      </w:r>
    </w:p>
    <w:p w:rsidR="00000000" w:rsidDel="00000000" w:rsidP="00000000" w:rsidRDefault="00000000" w:rsidRPr="00000000" w14:paraId="00000019">
      <w:pPr>
        <w:numPr>
          <w:ilvl w:val="0"/>
          <w:numId w:val="1"/>
        </w:numPr>
        <w:spacing w:after="0" w:afterAutospacing="0" w:before="0" w:beforeAutospacing="0" w:lineRule="auto"/>
        <w:ind w:left="720" w:hanging="360"/>
      </w:pPr>
      <w:r w:rsidDel="00000000" w:rsidR="00000000" w:rsidRPr="00000000">
        <w:rPr>
          <w:rtl w:val="0"/>
        </w:rPr>
        <w:t xml:space="preserve">Seyedeh Fahimeh Mousavi: “A Discourse Study of Semantic Shifts in Identity Concepts in Qajar Azerbaijan”</w:t>
        <w:br w:type="textWrapping"/>
      </w:r>
    </w:p>
    <w:p w:rsidR="00000000" w:rsidDel="00000000" w:rsidP="00000000" w:rsidRDefault="00000000" w:rsidRPr="00000000" w14:paraId="0000001A">
      <w:pPr>
        <w:numPr>
          <w:ilvl w:val="0"/>
          <w:numId w:val="1"/>
        </w:numPr>
        <w:spacing w:after="0" w:afterAutospacing="0" w:before="0" w:beforeAutospacing="0" w:lineRule="auto"/>
        <w:ind w:left="720" w:hanging="360"/>
      </w:pPr>
      <w:r w:rsidDel="00000000" w:rsidR="00000000" w:rsidRPr="00000000">
        <w:rPr>
          <w:rtl w:val="0"/>
        </w:rPr>
        <w:t xml:space="preserve">Tayebeh Mohammadi Kia: “Foundations of Peace-Oriented Thought in the Iranian Civilizational Tradition”</w:t>
        <w:br w:type="textWrapping"/>
      </w:r>
    </w:p>
    <w:p w:rsidR="00000000" w:rsidDel="00000000" w:rsidP="00000000" w:rsidRDefault="00000000" w:rsidRPr="00000000" w14:paraId="0000001B">
      <w:pPr>
        <w:numPr>
          <w:ilvl w:val="0"/>
          <w:numId w:val="1"/>
        </w:numPr>
        <w:spacing w:after="480" w:before="0" w:beforeAutospacing="0" w:lineRule="auto"/>
        <w:ind w:left="720" w:hanging="360"/>
      </w:pPr>
      <w:r w:rsidDel="00000000" w:rsidR="00000000" w:rsidRPr="00000000">
        <w:rPr>
          <w:rtl w:val="0"/>
        </w:rPr>
        <w:t xml:space="preserve">Reza Gholami: “A Critical Examination of the Iranshahri Theory”</w:t>
        <w:br w:type="textWrapping"/>
      </w:r>
    </w:p>
    <w:p w:rsidR="00000000" w:rsidDel="00000000" w:rsidP="00000000" w:rsidRDefault="00000000" w:rsidRPr="00000000" w14:paraId="0000001C">
      <w:pPr>
        <w:spacing w:after="240" w:before="240" w:lineRule="auto"/>
        <w:rPr/>
      </w:pPr>
      <w:r w:rsidDel="00000000" w:rsidR="00000000" w:rsidRPr="00000000">
        <w:rPr>
          <w:rtl w:val="0"/>
        </w:rPr>
        <w:t xml:space="preserve">The panel concluded with Michael Ryan’s analytical review of A Glimpse into the Splendor of Persian Civilization.</w:t>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tl9se77xmiam" w:id="5"/>
      <w:bookmarkEnd w:id="5"/>
      <w:r w:rsidDel="00000000" w:rsidR="00000000" w:rsidRPr="00000000">
        <w:rPr>
          <w:b w:val="1"/>
          <w:bCs w:val="1"/>
          <w:color w:val="000000"/>
          <w:sz w:val="26"/>
          <w:szCs w:val="26"/>
          <w:rtl w:val="0"/>
        </w:rPr>
        <w:t xml:space="preserve">Panel II (Chair: Dr. Viktor Florian Szabó)</w:t>
      </w:r>
    </w:p>
    <w:p w:rsidR="00000000" w:rsidDel="00000000" w:rsidP="00000000" w:rsidRDefault="00000000" w:rsidRPr="00000000" w14:paraId="0000001E">
      <w:pPr>
        <w:spacing w:after="240" w:before="240" w:lineRule="auto"/>
        <w:rPr/>
      </w:pPr>
      <w:r w:rsidDel="00000000" w:rsidR="00000000" w:rsidRPr="00000000">
        <w:rPr>
          <w:rtl w:val="0"/>
        </w:rPr>
        <w:t xml:space="preserve">This panel focused on historical, medical, and economic themes, including:</w:t>
      </w:r>
    </w:p>
    <w:p w:rsidR="00000000" w:rsidDel="00000000" w:rsidP="00000000" w:rsidRDefault="00000000" w:rsidRPr="00000000" w14:paraId="0000001F">
      <w:pPr>
        <w:numPr>
          <w:ilvl w:val="0"/>
          <w:numId w:val="3"/>
        </w:numPr>
        <w:spacing w:after="0" w:afterAutospacing="0" w:before="480" w:lineRule="auto"/>
        <w:ind w:left="720" w:hanging="360"/>
      </w:pPr>
      <w:r w:rsidDel="00000000" w:rsidR="00000000" w:rsidRPr="00000000">
        <w:rPr>
          <w:rtl w:val="0"/>
        </w:rPr>
        <w:t xml:space="preserve">Kamran Mahlooji, Arman Zargaran, and Shahram Jalilian: “The Emergence of the First Academic Medical Center (AMC) Model in Ancient Iran: Biosecurity, Qanat Engineering, and the Institutionalization of Clinical Education in the Sasanian Era”</w:t>
        <w:br w:type="textWrapping"/>
      </w:r>
    </w:p>
    <w:p w:rsidR="00000000" w:rsidDel="00000000" w:rsidP="00000000" w:rsidRDefault="00000000" w:rsidRPr="00000000" w14:paraId="00000020">
      <w:pPr>
        <w:numPr>
          <w:ilvl w:val="0"/>
          <w:numId w:val="3"/>
        </w:numPr>
        <w:spacing w:after="0" w:afterAutospacing="0" w:before="0" w:beforeAutospacing="0" w:lineRule="auto"/>
        <w:ind w:left="720" w:hanging="360"/>
      </w:pPr>
      <w:r w:rsidDel="00000000" w:rsidR="00000000" w:rsidRPr="00000000">
        <w:rPr>
          <w:rtl w:val="0"/>
        </w:rPr>
        <w:t xml:space="preserve">Mah-Sima Abdoli: “Textual Evidence for the Transmission of Ancient Iranian Medical Knowledge into the Islamic Period through the Academy of Gondishapur”</w:t>
        <w:br w:type="textWrapping"/>
      </w:r>
    </w:p>
    <w:p w:rsidR="00000000" w:rsidDel="00000000" w:rsidP="00000000" w:rsidRDefault="00000000" w:rsidRPr="00000000" w14:paraId="00000021">
      <w:pPr>
        <w:numPr>
          <w:ilvl w:val="0"/>
          <w:numId w:val="3"/>
        </w:numPr>
        <w:spacing w:after="0" w:afterAutospacing="0" w:before="0" w:beforeAutospacing="0" w:lineRule="auto"/>
        <w:ind w:left="720" w:hanging="360"/>
      </w:pPr>
      <w:r w:rsidDel="00000000" w:rsidR="00000000" w:rsidRPr="00000000">
        <w:rPr>
          <w:rtl w:val="0"/>
        </w:rPr>
        <w:t xml:space="preserve">Elham Malekzadeh: “Nationalist Thought among Iranian Historians: From the Constitutional Era to the Pahlavi Period”</w:t>
        <w:br w:type="textWrapping"/>
      </w:r>
    </w:p>
    <w:p w:rsidR="00000000" w:rsidDel="00000000" w:rsidP="00000000" w:rsidRDefault="00000000" w:rsidRPr="00000000" w14:paraId="00000022">
      <w:pPr>
        <w:numPr>
          <w:ilvl w:val="0"/>
          <w:numId w:val="3"/>
        </w:numPr>
        <w:spacing w:after="0" w:afterAutospacing="0" w:before="0" w:beforeAutospacing="0" w:lineRule="auto"/>
        <w:ind w:left="720" w:hanging="360"/>
      </w:pPr>
      <w:r w:rsidDel="00000000" w:rsidR="00000000" w:rsidRPr="00000000">
        <w:rPr>
          <w:rtl w:val="0"/>
        </w:rPr>
        <w:t xml:space="preserve">Zhāleh Amoozgar and Ardeshir Khorshidian: further historical analysis of the transmission of ancient Iranian medical knowledge via Gondishapur</w:t>
        <w:br w:type="textWrapping"/>
      </w:r>
    </w:p>
    <w:p w:rsidR="00000000" w:rsidDel="00000000" w:rsidP="00000000" w:rsidRDefault="00000000" w:rsidRPr="00000000" w14:paraId="00000023">
      <w:pPr>
        <w:numPr>
          <w:ilvl w:val="0"/>
          <w:numId w:val="3"/>
        </w:numPr>
        <w:spacing w:after="0" w:afterAutospacing="0" w:before="0" w:beforeAutospacing="0" w:lineRule="auto"/>
        <w:ind w:left="720" w:hanging="360"/>
      </w:pPr>
      <w:r w:rsidDel="00000000" w:rsidR="00000000" w:rsidRPr="00000000">
        <w:rPr>
          <w:rtl w:val="0"/>
        </w:rPr>
        <w:t xml:space="preserve">Mari Yoshinari: “The Economic Foundations of Modern Iranian Civilization, 1920s–1940s”</w:t>
        <w:br w:type="textWrapping"/>
      </w:r>
    </w:p>
    <w:p w:rsidR="00000000" w:rsidDel="00000000" w:rsidP="00000000" w:rsidRDefault="00000000" w:rsidRPr="00000000" w14:paraId="00000024">
      <w:pPr>
        <w:numPr>
          <w:ilvl w:val="0"/>
          <w:numId w:val="3"/>
        </w:numPr>
        <w:spacing w:after="0" w:afterAutospacing="0" w:before="0" w:beforeAutospacing="0" w:lineRule="auto"/>
        <w:ind w:left="720" w:hanging="360"/>
      </w:pPr>
      <w:r w:rsidDel="00000000" w:rsidR="00000000" w:rsidRPr="00000000">
        <w:rPr>
          <w:rtl w:val="0"/>
        </w:rPr>
        <w:t xml:space="preserve">Sarhan Afaghan: “Labor and Economy in Iran: Workers, Entrepreneurs, and the State”</w:t>
        <w:br w:type="textWrapping"/>
      </w:r>
    </w:p>
    <w:p w:rsidR="00000000" w:rsidDel="00000000" w:rsidP="00000000" w:rsidRDefault="00000000" w:rsidRPr="00000000" w14:paraId="00000025">
      <w:pPr>
        <w:numPr>
          <w:ilvl w:val="0"/>
          <w:numId w:val="3"/>
        </w:numPr>
        <w:spacing w:after="480" w:before="0" w:beforeAutospacing="0" w:lineRule="auto"/>
        <w:ind w:left="720" w:hanging="360"/>
      </w:pPr>
      <w:r w:rsidDel="00000000" w:rsidR="00000000" w:rsidRPr="00000000">
        <w:rPr>
          <w:rtl w:val="0"/>
        </w:rPr>
        <w:t xml:space="preserve">Viktor Florian Szabó: “Iran’s Financial System in the Traditional and Modern Worlds”</w:t>
        <w:br w:type="textWrapping"/>
      </w:r>
    </w:p>
    <w:p w:rsidR="00000000" w:rsidDel="00000000" w:rsidP="00000000" w:rsidRDefault="00000000" w:rsidRPr="00000000" w14:paraId="0000002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wlpt8sp67gqw" w:id="6"/>
      <w:bookmarkEnd w:id="6"/>
      <w:r w:rsidDel="00000000" w:rsidR="00000000" w:rsidRPr="00000000">
        <w:rPr>
          <w:b w:val="1"/>
          <w:bCs w:val="1"/>
          <w:sz w:val="34"/>
          <w:szCs w:val="34"/>
          <w:rtl w:val="0"/>
        </w:rPr>
        <w:t xml:space="preserve">Final Statement</w:t>
      </w:r>
    </w:p>
    <w:p w:rsidR="00000000" w:rsidDel="00000000" w:rsidP="00000000" w:rsidRDefault="00000000" w:rsidRPr="00000000" w14:paraId="00000028">
      <w:pPr>
        <w:spacing w:after="240" w:before="240" w:lineRule="auto"/>
        <w:rPr/>
      </w:pPr>
      <w:r w:rsidDel="00000000" w:rsidR="00000000" w:rsidRPr="00000000">
        <w:rPr>
          <w:rtl w:val="0"/>
        </w:rPr>
        <w:t xml:space="preserve">In the closing session, Dr. Elham Malekzadeh read the conference’s final statement. The declaration emphasized:</w:t>
      </w:r>
    </w:p>
    <w:p w:rsidR="00000000" w:rsidDel="00000000" w:rsidP="00000000" w:rsidRDefault="00000000" w:rsidRPr="00000000" w14:paraId="00000029">
      <w:pPr>
        <w:numPr>
          <w:ilvl w:val="0"/>
          <w:numId w:val="2"/>
        </w:numPr>
        <w:spacing w:after="0" w:afterAutospacing="0" w:before="480" w:lineRule="auto"/>
        <w:ind w:left="720" w:hanging="360"/>
      </w:pPr>
      <w:r w:rsidDel="00000000" w:rsidR="00000000" w:rsidRPr="00000000">
        <w:rPr>
          <w:rtl w:val="0"/>
        </w:rPr>
        <w:t xml:space="preserve">the integration of Iranology and civilizational studies,</w:t>
        <w:br w:type="textWrapping"/>
      </w:r>
    </w:p>
    <w:p w:rsidR="00000000" w:rsidDel="00000000" w:rsidP="00000000" w:rsidRDefault="00000000" w:rsidRPr="00000000" w14:paraId="0000002A">
      <w:pPr>
        <w:numPr>
          <w:ilvl w:val="0"/>
          <w:numId w:val="2"/>
        </w:numPr>
        <w:spacing w:after="0" w:afterAutospacing="0" w:before="0" w:beforeAutospacing="0" w:lineRule="auto"/>
        <w:ind w:left="720" w:hanging="360"/>
      </w:pPr>
      <w:r w:rsidDel="00000000" w:rsidR="00000000" w:rsidRPr="00000000">
        <w:rPr>
          <w:rtl w:val="0"/>
        </w:rPr>
        <w:t xml:space="preserve">the systematic linkage of Oriental studies and Iranian studies,</w:t>
        <w:br w:type="textWrapping"/>
      </w:r>
    </w:p>
    <w:p w:rsidR="00000000" w:rsidDel="00000000" w:rsidP="00000000" w:rsidRDefault="00000000" w:rsidRPr="00000000" w14:paraId="0000002B">
      <w:pPr>
        <w:numPr>
          <w:ilvl w:val="0"/>
          <w:numId w:val="2"/>
        </w:numPr>
        <w:spacing w:after="0" w:afterAutospacing="0" w:before="0" w:beforeAutospacing="0" w:lineRule="auto"/>
        <w:ind w:left="720" w:hanging="360"/>
      </w:pPr>
      <w:r w:rsidDel="00000000" w:rsidR="00000000" w:rsidRPr="00000000">
        <w:rPr>
          <w:rtl w:val="0"/>
        </w:rPr>
        <w:t xml:space="preserve">safeguarding academic independence from political and ideological pressures,</w:t>
        <w:br w:type="textWrapping"/>
      </w:r>
    </w:p>
    <w:p w:rsidR="00000000" w:rsidDel="00000000" w:rsidP="00000000" w:rsidRDefault="00000000" w:rsidRPr="00000000" w14:paraId="0000002C">
      <w:pPr>
        <w:numPr>
          <w:ilvl w:val="0"/>
          <w:numId w:val="2"/>
        </w:numPr>
        <w:spacing w:after="0" w:afterAutospacing="0" w:before="0" w:beforeAutospacing="0" w:lineRule="auto"/>
        <w:ind w:left="720" w:hanging="360"/>
      </w:pPr>
      <w:r w:rsidDel="00000000" w:rsidR="00000000" w:rsidRPr="00000000">
        <w:rPr>
          <w:rtl w:val="0"/>
        </w:rPr>
        <w:t xml:space="preserve">strengthening a culture of critical inquiry and free scholarly dialogue,</w:t>
        <w:br w:type="textWrapping"/>
      </w:r>
    </w:p>
    <w:p w:rsidR="00000000" w:rsidDel="00000000" w:rsidP="00000000" w:rsidRDefault="00000000" w:rsidRPr="00000000" w14:paraId="0000002D">
      <w:pPr>
        <w:numPr>
          <w:ilvl w:val="0"/>
          <w:numId w:val="2"/>
        </w:numPr>
        <w:spacing w:after="0" w:afterAutospacing="0" w:before="0" w:beforeAutospacing="0" w:lineRule="auto"/>
        <w:ind w:left="720" w:hanging="360"/>
      </w:pPr>
      <w:r w:rsidDel="00000000" w:rsidR="00000000" w:rsidRPr="00000000">
        <w:rPr>
          <w:rtl w:val="0"/>
        </w:rPr>
        <w:t xml:space="preserve">identifying research gaps, and</w:t>
        <w:br w:type="textWrapping"/>
      </w:r>
    </w:p>
    <w:p w:rsidR="00000000" w:rsidDel="00000000" w:rsidP="00000000" w:rsidRDefault="00000000" w:rsidRPr="00000000" w14:paraId="0000002E">
      <w:pPr>
        <w:numPr>
          <w:ilvl w:val="0"/>
          <w:numId w:val="2"/>
        </w:numPr>
        <w:spacing w:after="480" w:before="0" w:beforeAutospacing="0" w:lineRule="auto"/>
        <w:ind w:left="720" w:hanging="360"/>
      </w:pPr>
      <w:r w:rsidDel="00000000" w:rsidR="00000000" w:rsidRPr="00000000">
        <w:rPr>
          <w:rtl w:val="0"/>
        </w:rPr>
        <w:t xml:space="preserve">expanding interdisciplinary collaboration.</w:t>
        <w:br w:type="textWrapping"/>
      </w:r>
    </w:p>
    <w:p w:rsidR="00000000" w:rsidDel="00000000" w:rsidP="00000000" w:rsidRDefault="00000000" w:rsidRPr="00000000" w14:paraId="0000002F">
      <w:pPr>
        <w:spacing w:after="240" w:before="240" w:lineRule="auto"/>
        <w:rPr/>
      </w:pPr>
      <w:r w:rsidDel="00000000" w:rsidR="00000000" w:rsidRPr="00000000">
        <w:rPr>
          <w:rtl w:val="0"/>
        </w:rPr>
        <w:t xml:space="preserve">It further called for the development of authoritative scholarly reference works and the formulation of a long-term research agenda aimed at deepening global understanding of Iranian–Islamic civilization.</w:t>
      </w:r>
    </w:p>
    <w:p w:rsidR="00000000" w:rsidDel="00000000" w:rsidP="00000000" w:rsidRDefault="00000000" w:rsidRPr="00000000" w14:paraId="00000030">
      <w:pPr>
        <w:spacing w:after="240" w:before="240" w:lineRule="auto"/>
        <w:rPr/>
      </w:pPr>
      <w:r w:rsidDel="00000000" w:rsidR="00000000" w:rsidRPr="00000000">
        <w:rPr>
          <w:rtl w:val="0"/>
        </w:rPr>
        <w:t xml:space="preserve">The conference concluded with a reaffirmation of continued scholarly engagement between Iranian and European researchers and with the expressed hope of convening a second conference in the coming Persian year.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